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72" w:rsidRPr="00024B72" w:rsidRDefault="00024B72" w:rsidP="00024B72">
      <w:pPr>
        <w:jc w:val="center"/>
        <w:rPr>
          <w:b/>
          <w:sz w:val="44"/>
          <w:szCs w:val="44"/>
        </w:rPr>
      </w:pPr>
      <w:r w:rsidRPr="00024B72">
        <w:rPr>
          <w:b/>
          <w:sz w:val="44"/>
          <w:szCs w:val="44"/>
        </w:rPr>
        <w:t>GXS Active Catalogue</w:t>
      </w:r>
    </w:p>
    <w:p w:rsidR="00024B72" w:rsidRPr="00024B72" w:rsidRDefault="00700830" w:rsidP="00024B72">
      <w:pPr>
        <w:jc w:val="center"/>
        <w:rPr>
          <w:sz w:val="24"/>
          <w:szCs w:val="24"/>
        </w:rPr>
      </w:pPr>
      <w:r>
        <w:rPr>
          <w:sz w:val="24"/>
          <w:szCs w:val="24"/>
        </w:rPr>
        <w:t>Creating a Prepack R</w:t>
      </w:r>
      <w:r w:rsidR="00024B72" w:rsidRPr="00024B72">
        <w:rPr>
          <w:sz w:val="24"/>
          <w:szCs w:val="24"/>
        </w:rPr>
        <w:t>elationship</w:t>
      </w:r>
    </w:p>
    <w:p w:rsidR="00024B72" w:rsidRDefault="00024B72">
      <w:pPr>
        <w:rPr>
          <w:sz w:val="28"/>
          <w:szCs w:val="28"/>
        </w:rPr>
      </w:pPr>
    </w:p>
    <w:p w:rsidR="002C24EF" w:rsidRPr="00024B72" w:rsidRDefault="00A15F8A">
      <w:pPr>
        <w:rPr>
          <w:i/>
          <w:sz w:val="28"/>
          <w:szCs w:val="28"/>
        </w:rPr>
      </w:pPr>
      <w:r w:rsidRPr="00024B72">
        <w:rPr>
          <w:i/>
          <w:sz w:val="28"/>
          <w:szCs w:val="28"/>
        </w:rPr>
        <w:t>In order to establish a Prepack relationship between UPCs (GTINs) within the GXS Active Catalogue, the Vendor must first upload the ‘</w:t>
      </w:r>
      <w:r w:rsidRPr="00024B72">
        <w:rPr>
          <w:b/>
          <w:i/>
          <w:sz w:val="28"/>
          <w:szCs w:val="28"/>
        </w:rPr>
        <w:t>Container</w:t>
      </w:r>
      <w:r w:rsidRPr="00024B72">
        <w:rPr>
          <w:i/>
          <w:sz w:val="28"/>
          <w:szCs w:val="28"/>
        </w:rPr>
        <w:t xml:space="preserve">’ (sometimes </w:t>
      </w:r>
      <w:r w:rsidR="0035579C" w:rsidRPr="00024B72">
        <w:rPr>
          <w:i/>
          <w:sz w:val="28"/>
          <w:szCs w:val="28"/>
        </w:rPr>
        <w:t>called</w:t>
      </w:r>
      <w:r w:rsidRPr="00024B72">
        <w:rPr>
          <w:i/>
          <w:sz w:val="28"/>
          <w:szCs w:val="28"/>
        </w:rPr>
        <w:t xml:space="preserve"> the Par</w:t>
      </w:r>
      <w:r w:rsidR="0035579C" w:rsidRPr="00024B72">
        <w:rPr>
          <w:i/>
          <w:sz w:val="28"/>
          <w:szCs w:val="28"/>
        </w:rPr>
        <w:t>ent</w:t>
      </w:r>
      <w:r w:rsidRPr="00024B72">
        <w:rPr>
          <w:i/>
          <w:sz w:val="28"/>
          <w:szCs w:val="28"/>
        </w:rPr>
        <w:t>)</w:t>
      </w:r>
      <w:r w:rsidR="0035579C" w:rsidRPr="00024B72">
        <w:rPr>
          <w:i/>
          <w:sz w:val="28"/>
          <w:szCs w:val="28"/>
        </w:rPr>
        <w:t xml:space="preserve"> </w:t>
      </w:r>
      <w:r w:rsidR="00083A53">
        <w:rPr>
          <w:i/>
          <w:sz w:val="28"/>
          <w:szCs w:val="28"/>
        </w:rPr>
        <w:t>GTIN</w:t>
      </w:r>
      <w:r w:rsidR="0035579C" w:rsidRPr="00024B72">
        <w:rPr>
          <w:i/>
          <w:sz w:val="28"/>
          <w:szCs w:val="28"/>
        </w:rPr>
        <w:t xml:space="preserve"> as well as the ‘</w:t>
      </w:r>
      <w:r w:rsidR="0035579C" w:rsidRPr="00024B72">
        <w:rPr>
          <w:b/>
          <w:i/>
          <w:sz w:val="28"/>
          <w:szCs w:val="28"/>
        </w:rPr>
        <w:t>Component</w:t>
      </w:r>
      <w:r w:rsidR="0035579C" w:rsidRPr="00024B72">
        <w:rPr>
          <w:i/>
          <w:sz w:val="28"/>
          <w:szCs w:val="28"/>
        </w:rPr>
        <w:t xml:space="preserve">’ (sometimes called the Child) </w:t>
      </w:r>
      <w:r w:rsidR="00083A53">
        <w:rPr>
          <w:i/>
          <w:sz w:val="28"/>
          <w:szCs w:val="28"/>
        </w:rPr>
        <w:t>GTIN</w:t>
      </w:r>
      <w:r w:rsidR="0035579C" w:rsidRPr="00024B72">
        <w:rPr>
          <w:i/>
          <w:sz w:val="28"/>
          <w:szCs w:val="28"/>
        </w:rPr>
        <w:t>s which make up the Prepack relationship.</w:t>
      </w:r>
    </w:p>
    <w:p w:rsidR="002C24EF" w:rsidRPr="00024B72" w:rsidRDefault="002C24EF">
      <w:pPr>
        <w:rPr>
          <w:sz w:val="28"/>
          <w:szCs w:val="28"/>
        </w:rPr>
      </w:pPr>
    </w:p>
    <w:p w:rsidR="0035579C" w:rsidRDefault="00FC5B83" w:rsidP="00FA7EB4">
      <w:pPr>
        <w:rPr>
          <w:sz w:val="28"/>
          <w:szCs w:val="28"/>
        </w:rPr>
      </w:pPr>
      <w:r w:rsidRPr="00024B72">
        <w:rPr>
          <w:sz w:val="28"/>
          <w:szCs w:val="28"/>
        </w:rPr>
        <w:t xml:space="preserve">Below is a screenshot taken from the ‘GTIN List’ screen for </w:t>
      </w:r>
      <w:r w:rsidR="00083A53">
        <w:rPr>
          <w:sz w:val="28"/>
          <w:szCs w:val="28"/>
        </w:rPr>
        <w:t xml:space="preserve">an example </w:t>
      </w:r>
      <w:r w:rsidRPr="00024B72">
        <w:rPr>
          <w:sz w:val="28"/>
          <w:szCs w:val="28"/>
        </w:rPr>
        <w:t>Product</w:t>
      </w:r>
      <w:r w:rsidR="00083A53">
        <w:rPr>
          <w:sz w:val="28"/>
          <w:szCs w:val="28"/>
        </w:rPr>
        <w:t>/</w:t>
      </w:r>
      <w:proofErr w:type="gramStart"/>
      <w:r w:rsidR="00083A53">
        <w:rPr>
          <w:sz w:val="28"/>
          <w:szCs w:val="28"/>
        </w:rPr>
        <w:t>Style.</w:t>
      </w:r>
      <w:proofErr w:type="gramEnd"/>
      <w:r w:rsidR="00083A53">
        <w:rPr>
          <w:sz w:val="28"/>
          <w:szCs w:val="28"/>
        </w:rPr>
        <w:t xml:space="preserve"> </w:t>
      </w:r>
      <w:r w:rsidRPr="00024B72">
        <w:rPr>
          <w:sz w:val="28"/>
          <w:szCs w:val="28"/>
        </w:rPr>
        <w:t xml:space="preserve">You can see that 6 UPCs have been added.  </w:t>
      </w:r>
      <w:r w:rsidR="00FA7EB4">
        <w:rPr>
          <w:sz w:val="28"/>
          <w:szCs w:val="28"/>
        </w:rPr>
        <w:t>c</w:t>
      </w:r>
      <w:r w:rsidRPr="00024B72">
        <w:rPr>
          <w:sz w:val="28"/>
          <w:szCs w:val="28"/>
        </w:rPr>
        <w:t xml:space="preserve"> </w:t>
      </w:r>
      <w:r w:rsidR="00083A53">
        <w:rPr>
          <w:sz w:val="28"/>
          <w:szCs w:val="28"/>
        </w:rPr>
        <w:t>highlighted</w:t>
      </w:r>
      <w:r w:rsidRPr="00024B72">
        <w:rPr>
          <w:sz w:val="28"/>
          <w:szCs w:val="28"/>
        </w:rPr>
        <w:t xml:space="preserve"> in the screenshot below.</w:t>
      </w:r>
    </w:p>
    <w:p w:rsidR="00024B72" w:rsidRPr="00024B72" w:rsidRDefault="00024B72">
      <w:pPr>
        <w:rPr>
          <w:sz w:val="28"/>
          <w:szCs w:val="28"/>
        </w:rPr>
      </w:pPr>
    </w:p>
    <w:p w:rsidR="00FC5B83" w:rsidRDefault="00FC5B83">
      <w:r>
        <w:rPr>
          <w:noProof/>
          <w:lang w:eastAsia="ja-JP"/>
        </w:rPr>
        <w:drawing>
          <wp:inline distT="0" distB="0" distL="0" distR="0">
            <wp:extent cx="5943600" cy="310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rsidR="00FC5B83" w:rsidRDefault="00FC5B83">
      <w:pPr>
        <w:rPr>
          <w:noProof/>
          <w:sz w:val="28"/>
          <w:szCs w:val="28"/>
        </w:rPr>
      </w:pPr>
      <w:r w:rsidRPr="00024B72">
        <w:rPr>
          <w:noProof/>
          <w:sz w:val="28"/>
          <w:szCs w:val="28"/>
        </w:rPr>
        <w:t xml:space="preserve">When adding any </w:t>
      </w:r>
      <w:r w:rsidR="00024B72">
        <w:rPr>
          <w:noProof/>
          <w:sz w:val="28"/>
          <w:szCs w:val="28"/>
        </w:rPr>
        <w:t>GTIN</w:t>
      </w:r>
      <w:r w:rsidRPr="00024B72">
        <w:rPr>
          <w:noProof/>
          <w:sz w:val="28"/>
          <w:szCs w:val="28"/>
        </w:rPr>
        <w:t xml:space="preserve"> to the Catalogue, you will see </w:t>
      </w:r>
      <w:r w:rsidR="00024B72">
        <w:rPr>
          <w:noProof/>
          <w:sz w:val="28"/>
          <w:szCs w:val="28"/>
        </w:rPr>
        <w:t>an</w:t>
      </w:r>
      <w:r w:rsidRPr="00024B72">
        <w:rPr>
          <w:noProof/>
          <w:sz w:val="28"/>
          <w:szCs w:val="28"/>
        </w:rPr>
        <w:t xml:space="preserve"> option to select a ‘</w:t>
      </w:r>
      <w:r w:rsidRPr="00024B72">
        <w:rPr>
          <w:i/>
          <w:noProof/>
          <w:sz w:val="28"/>
          <w:szCs w:val="28"/>
        </w:rPr>
        <w:t>Prepack/Container Code</w:t>
      </w:r>
      <w:r w:rsidRPr="00024B72">
        <w:rPr>
          <w:noProof/>
          <w:sz w:val="28"/>
          <w:szCs w:val="28"/>
        </w:rPr>
        <w:t xml:space="preserve">’ from </w:t>
      </w:r>
      <w:r w:rsidR="00024B72">
        <w:rPr>
          <w:noProof/>
          <w:sz w:val="28"/>
          <w:szCs w:val="28"/>
        </w:rPr>
        <w:t>a</w:t>
      </w:r>
      <w:r w:rsidRPr="00024B72">
        <w:rPr>
          <w:noProof/>
          <w:sz w:val="28"/>
          <w:szCs w:val="28"/>
        </w:rPr>
        <w:t xml:space="preserve"> list (screenshot below).  </w:t>
      </w:r>
      <w:r w:rsidR="009E4433" w:rsidRPr="00024B72">
        <w:rPr>
          <w:noProof/>
          <w:sz w:val="28"/>
          <w:szCs w:val="28"/>
        </w:rPr>
        <w:t xml:space="preserve">A valid Prepack code must be selected in order to </w:t>
      </w:r>
      <w:r w:rsidR="00024B72">
        <w:rPr>
          <w:noProof/>
          <w:sz w:val="28"/>
          <w:szCs w:val="28"/>
        </w:rPr>
        <w:t>create</w:t>
      </w:r>
      <w:r w:rsidR="009E4433" w:rsidRPr="00024B72">
        <w:rPr>
          <w:noProof/>
          <w:sz w:val="28"/>
          <w:szCs w:val="28"/>
        </w:rPr>
        <w:t xml:space="preserve"> a Container </w:t>
      </w:r>
      <w:r w:rsidR="00024B72">
        <w:rPr>
          <w:noProof/>
          <w:sz w:val="28"/>
          <w:szCs w:val="28"/>
        </w:rPr>
        <w:t>GTIN</w:t>
      </w:r>
      <w:r w:rsidR="009E4433" w:rsidRPr="00024B72">
        <w:rPr>
          <w:noProof/>
          <w:sz w:val="28"/>
          <w:szCs w:val="28"/>
        </w:rPr>
        <w:t>.</w:t>
      </w:r>
    </w:p>
    <w:p w:rsidR="00FC5B83" w:rsidRDefault="00FC5B83">
      <w:pPr>
        <w:rPr>
          <w:noProof/>
        </w:rPr>
      </w:pPr>
      <w:r>
        <w:rPr>
          <w:noProof/>
        </w:rPr>
        <w:t>*</w:t>
      </w:r>
      <w:r w:rsidRPr="00FC5B83">
        <w:rPr>
          <w:i/>
          <w:noProof/>
        </w:rPr>
        <w:t xml:space="preserve">Selecting </w:t>
      </w:r>
      <w:r w:rsidR="00083A53">
        <w:rPr>
          <w:i/>
          <w:noProof/>
        </w:rPr>
        <w:t>a</w:t>
      </w:r>
      <w:r w:rsidRPr="00FC5B83">
        <w:rPr>
          <w:i/>
          <w:noProof/>
        </w:rPr>
        <w:t xml:space="preserve"> Prepack</w:t>
      </w:r>
      <w:r w:rsidR="00083A53">
        <w:rPr>
          <w:i/>
          <w:noProof/>
        </w:rPr>
        <w:t>/Container  C</w:t>
      </w:r>
      <w:r w:rsidRPr="00FC5B83">
        <w:rPr>
          <w:i/>
          <w:noProof/>
        </w:rPr>
        <w:t xml:space="preserve">ode is only required for the Container/Parent </w:t>
      </w:r>
      <w:r w:rsidR="00083A53">
        <w:rPr>
          <w:i/>
          <w:noProof/>
        </w:rPr>
        <w:t>GTIN</w:t>
      </w:r>
      <w:r w:rsidRPr="00FC5B83">
        <w:rPr>
          <w:i/>
          <w:noProof/>
        </w:rPr>
        <w:t xml:space="preserve"> and this field should be left blank for </w:t>
      </w:r>
      <w:r w:rsidR="00083A53">
        <w:rPr>
          <w:i/>
          <w:noProof/>
        </w:rPr>
        <w:t xml:space="preserve">all </w:t>
      </w:r>
      <w:r w:rsidRPr="00FC5B83">
        <w:rPr>
          <w:i/>
          <w:noProof/>
        </w:rPr>
        <w:t>Component/Child UPCs.</w:t>
      </w:r>
    </w:p>
    <w:p w:rsidR="002C24EF" w:rsidRDefault="002C24EF">
      <w:pPr>
        <w:rPr>
          <w:noProof/>
        </w:rPr>
      </w:pPr>
      <w:r>
        <w:rPr>
          <w:noProof/>
          <w:lang w:eastAsia="ja-JP"/>
        </w:rPr>
        <w:drawing>
          <wp:inline distT="0" distB="0" distL="0" distR="0">
            <wp:extent cx="5934075" cy="3619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619500"/>
                    </a:xfrm>
                    <a:prstGeom prst="rect">
                      <a:avLst/>
                    </a:prstGeom>
                    <a:noFill/>
                    <a:ln>
                      <a:noFill/>
                    </a:ln>
                  </pic:spPr>
                </pic:pic>
              </a:graphicData>
            </a:graphic>
          </wp:inline>
        </w:drawing>
      </w:r>
    </w:p>
    <w:p w:rsidR="00A15F8A" w:rsidRDefault="00A15F8A"/>
    <w:p w:rsidR="009E4433" w:rsidRDefault="009E4433"/>
    <w:p w:rsidR="009E4433" w:rsidRDefault="009E4433"/>
    <w:p w:rsidR="009E4433" w:rsidRDefault="009E4433"/>
    <w:p w:rsidR="009E4433" w:rsidRDefault="009E4433"/>
    <w:p w:rsidR="009E4433" w:rsidRDefault="009E4433"/>
    <w:p w:rsidR="009E4433" w:rsidRDefault="009E4433"/>
    <w:p w:rsidR="009E4433" w:rsidRDefault="009E4433"/>
    <w:p w:rsidR="009E4433" w:rsidRDefault="009E4433"/>
    <w:p w:rsidR="009E4433" w:rsidRPr="00024B72" w:rsidRDefault="009E4433">
      <w:pPr>
        <w:rPr>
          <w:sz w:val="28"/>
          <w:szCs w:val="28"/>
        </w:rPr>
      </w:pPr>
      <w:r w:rsidRPr="00024B72">
        <w:rPr>
          <w:sz w:val="28"/>
          <w:szCs w:val="28"/>
        </w:rPr>
        <w:t xml:space="preserve">Note in the screenshot below that only the ‘Container’ UPC has been identified with a Prepack Code.  </w:t>
      </w:r>
    </w:p>
    <w:p w:rsidR="00A15F8A" w:rsidRPr="009E4433" w:rsidRDefault="009E4433">
      <w:pPr>
        <w:rPr>
          <w:i/>
        </w:rPr>
      </w:pPr>
      <w:r>
        <w:rPr>
          <w:i/>
        </w:rPr>
        <w:t>*</w:t>
      </w:r>
      <w:r w:rsidRPr="009E4433">
        <w:rPr>
          <w:i/>
        </w:rPr>
        <w:t>Another thing to note about the Container/Parent UPC is that they can only be assigned NRF Size codes from 90000 and above.  The Catalogue will generate an error if the Vendor attempts to assign an NRF code less than 90000.</w:t>
      </w:r>
    </w:p>
    <w:p w:rsidR="00A15F8A" w:rsidRDefault="00A15F8A"/>
    <w:p w:rsidR="00A15F8A" w:rsidRDefault="00A15F8A">
      <w:r>
        <w:rPr>
          <w:noProof/>
          <w:lang w:eastAsia="ja-JP"/>
        </w:rPr>
        <w:drawing>
          <wp:inline distT="0" distB="0" distL="0" distR="0">
            <wp:extent cx="5943600" cy="310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rsidR="0035579C" w:rsidRDefault="0035579C"/>
    <w:p w:rsidR="0035579C" w:rsidRDefault="0035579C"/>
    <w:p w:rsidR="002B0ADA" w:rsidRDefault="002B0ADA"/>
    <w:p w:rsidR="002B0ADA" w:rsidRDefault="002B0ADA"/>
    <w:p w:rsidR="002B0ADA" w:rsidRDefault="002B0ADA"/>
    <w:p w:rsidR="002B0ADA" w:rsidRDefault="002B0ADA"/>
    <w:p w:rsidR="002B0ADA" w:rsidRDefault="002B0ADA"/>
    <w:p w:rsidR="002B0ADA" w:rsidRDefault="002B0ADA"/>
    <w:p w:rsidR="002B0ADA" w:rsidRDefault="002B0ADA"/>
    <w:p w:rsidR="002B0ADA" w:rsidRDefault="002B0ADA"/>
    <w:p w:rsidR="002B0ADA" w:rsidRDefault="002B0ADA"/>
    <w:p w:rsidR="0035579C" w:rsidRPr="00024B72" w:rsidRDefault="009E4433">
      <w:pPr>
        <w:rPr>
          <w:sz w:val="28"/>
          <w:szCs w:val="28"/>
        </w:rPr>
      </w:pPr>
      <w:r w:rsidRPr="00024B72">
        <w:rPr>
          <w:sz w:val="28"/>
          <w:szCs w:val="28"/>
        </w:rPr>
        <w:t xml:space="preserve">Once both the </w:t>
      </w:r>
      <w:r w:rsidR="002B0ADA" w:rsidRPr="00024B72">
        <w:rPr>
          <w:sz w:val="28"/>
          <w:szCs w:val="28"/>
        </w:rPr>
        <w:t>Container UPC</w:t>
      </w:r>
      <w:r w:rsidRPr="00024B72">
        <w:rPr>
          <w:sz w:val="28"/>
          <w:szCs w:val="28"/>
        </w:rPr>
        <w:t xml:space="preserve"> and the Component UPC</w:t>
      </w:r>
      <w:r w:rsidR="002B0ADA" w:rsidRPr="00024B72">
        <w:rPr>
          <w:sz w:val="28"/>
          <w:szCs w:val="28"/>
        </w:rPr>
        <w:t>s</w:t>
      </w:r>
      <w:r w:rsidRPr="00024B72">
        <w:rPr>
          <w:sz w:val="28"/>
          <w:szCs w:val="28"/>
        </w:rPr>
        <w:t xml:space="preserve"> have been added to the Catalogue, the Vendor must then </w:t>
      </w:r>
      <w:r w:rsidR="002B0ADA" w:rsidRPr="00024B72">
        <w:rPr>
          <w:sz w:val="28"/>
          <w:szCs w:val="28"/>
        </w:rPr>
        <w:t>create the Prepack relationship.</w:t>
      </w:r>
    </w:p>
    <w:p w:rsidR="002B0ADA" w:rsidRPr="002B0ADA" w:rsidRDefault="002B0ADA">
      <w:pPr>
        <w:rPr>
          <w:i/>
        </w:rPr>
      </w:pPr>
      <w:r w:rsidRPr="002B0ADA">
        <w:rPr>
          <w:i/>
        </w:rPr>
        <w:t>*this step is commonly missed by Vendors who are setting up Prepacks for the first time.</w:t>
      </w:r>
    </w:p>
    <w:p w:rsidR="002B0ADA" w:rsidRPr="00024B72" w:rsidRDefault="002B0ADA">
      <w:pPr>
        <w:rPr>
          <w:sz w:val="28"/>
          <w:szCs w:val="28"/>
        </w:rPr>
      </w:pPr>
      <w:r w:rsidRPr="00024B72">
        <w:rPr>
          <w:sz w:val="28"/>
          <w:szCs w:val="28"/>
        </w:rPr>
        <w:t xml:space="preserve">The 2 left most columns on the ‘GTIN List’ screen (indicated below) are the ‘Components’ and ‘Containers’ columns and serves 2 purposes:  </w:t>
      </w:r>
    </w:p>
    <w:p w:rsidR="002B0ADA" w:rsidRPr="00024B72" w:rsidRDefault="002B0ADA">
      <w:pPr>
        <w:rPr>
          <w:sz w:val="28"/>
          <w:szCs w:val="28"/>
        </w:rPr>
      </w:pPr>
      <w:r w:rsidRPr="00024B72">
        <w:rPr>
          <w:sz w:val="28"/>
          <w:szCs w:val="28"/>
        </w:rPr>
        <w:t xml:space="preserve">1) Allows the client to create a Prepack relationship between 2 or more UPCs.  </w:t>
      </w:r>
    </w:p>
    <w:p w:rsidR="002B0ADA" w:rsidRPr="00024B72" w:rsidRDefault="002B0ADA">
      <w:pPr>
        <w:rPr>
          <w:sz w:val="28"/>
          <w:szCs w:val="28"/>
        </w:rPr>
      </w:pPr>
      <w:r w:rsidRPr="00024B72">
        <w:rPr>
          <w:sz w:val="28"/>
          <w:szCs w:val="28"/>
        </w:rPr>
        <w:t>2) Provides an indication of the number of Containers/Component UPCs that have already been designated.</w:t>
      </w:r>
    </w:p>
    <w:p w:rsidR="002B0ADA" w:rsidRDefault="002B0ADA">
      <w:r>
        <w:rPr>
          <w:noProof/>
          <w:lang w:eastAsia="ja-JP"/>
        </w:rPr>
        <w:drawing>
          <wp:inline distT="0" distB="0" distL="0" distR="0">
            <wp:extent cx="5943600"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rsidR="002B0ADA" w:rsidRDefault="002B0ADA"/>
    <w:p w:rsidR="002B0ADA" w:rsidRDefault="002B0ADA"/>
    <w:p w:rsidR="002B0ADA" w:rsidRDefault="002B0ADA"/>
    <w:p w:rsidR="002B0ADA" w:rsidRDefault="002B0ADA"/>
    <w:p w:rsidR="002B0ADA" w:rsidRDefault="002B0ADA"/>
    <w:p w:rsidR="002B0ADA" w:rsidRDefault="002B0ADA"/>
    <w:p w:rsidR="002B0ADA" w:rsidRDefault="002B0ADA"/>
    <w:p w:rsidR="002B0ADA" w:rsidRDefault="002B0ADA"/>
    <w:p w:rsidR="002B0ADA" w:rsidRPr="00024B72" w:rsidRDefault="002B0ADA">
      <w:pPr>
        <w:rPr>
          <w:sz w:val="28"/>
          <w:szCs w:val="28"/>
        </w:rPr>
      </w:pPr>
      <w:r w:rsidRPr="00024B72">
        <w:rPr>
          <w:sz w:val="28"/>
          <w:szCs w:val="28"/>
        </w:rPr>
        <w:t>After adding the UPCs to the Catalogue, the first step is to locate the ‘Container’ (parent) UPC and click the number shown under the ‘Components’ column (indicated in screenshot below).</w:t>
      </w:r>
    </w:p>
    <w:p w:rsidR="002B0ADA" w:rsidRDefault="002B0ADA">
      <w:r>
        <w:rPr>
          <w:noProof/>
          <w:lang w:eastAsia="ja-JP"/>
        </w:rPr>
        <w:drawing>
          <wp:inline distT="0" distB="0" distL="0" distR="0">
            <wp:extent cx="5943600"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rsidR="002B0ADA" w:rsidRDefault="002B0ADA"/>
    <w:p w:rsidR="00782511" w:rsidRDefault="00782511"/>
    <w:p w:rsidR="00782511" w:rsidRDefault="00782511"/>
    <w:p w:rsidR="00782511" w:rsidRDefault="00782511"/>
    <w:p w:rsidR="00782511" w:rsidRDefault="00782511"/>
    <w:p w:rsidR="00782511" w:rsidRDefault="00782511"/>
    <w:p w:rsidR="00782511" w:rsidRDefault="00782511"/>
    <w:p w:rsidR="00782511" w:rsidRDefault="00782511"/>
    <w:p w:rsidR="00782511" w:rsidRDefault="00782511"/>
    <w:p w:rsidR="00782511" w:rsidRDefault="00782511"/>
    <w:p w:rsidR="00700830" w:rsidRDefault="00700830"/>
    <w:p w:rsidR="00782511" w:rsidRPr="00024B72" w:rsidRDefault="002B0ADA">
      <w:pPr>
        <w:rPr>
          <w:sz w:val="28"/>
          <w:szCs w:val="28"/>
        </w:rPr>
      </w:pPr>
      <w:r w:rsidRPr="00024B72">
        <w:rPr>
          <w:sz w:val="28"/>
          <w:szCs w:val="28"/>
        </w:rPr>
        <w:t>This will open the ‘View Components’ window shown below</w:t>
      </w:r>
      <w:r w:rsidR="00782511" w:rsidRPr="00024B72">
        <w:rPr>
          <w:sz w:val="28"/>
          <w:szCs w:val="28"/>
        </w:rPr>
        <w:t xml:space="preserve">.  </w:t>
      </w:r>
    </w:p>
    <w:p w:rsidR="00782511" w:rsidRPr="00024B72" w:rsidRDefault="00782511">
      <w:pPr>
        <w:rPr>
          <w:sz w:val="28"/>
          <w:szCs w:val="28"/>
        </w:rPr>
      </w:pPr>
      <w:r w:rsidRPr="00024B72">
        <w:rPr>
          <w:sz w:val="28"/>
          <w:szCs w:val="28"/>
        </w:rPr>
        <w:t>The Vendor should then click the ‘Add Component’ button indicated below.</w:t>
      </w:r>
    </w:p>
    <w:p w:rsidR="00782511" w:rsidRDefault="00782511">
      <w:r>
        <w:rPr>
          <w:noProof/>
          <w:lang w:eastAsia="ja-JP"/>
        </w:rPr>
        <w:drawing>
          <wp:inline distT="0" distB="0" distL="0" distR="0">
            <wp:extent cx="5943600" cy="340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782511" w:rsidRDefault="00782511"/>
    <w:p w:rsidR="00782511" w:rsidRDefault="00782511"/>
    <w:p w:rsidR="009F47F7" w:rsidRDefault="009F47F7"/>
    <w:p w:rsidR="009F47F7" w:rsidRDefault="009F47F7"/>
    <w:p w:rsidR="009F47F7" w:rsidRDefault="009F47F7"/>
    <w:p w:rsidR="009F47F7" w:rsidRDefault="009F47F7"/>
    <w:p w:rsidR="009F47F7" w:rsidRDefault="009F47F7"/>
    <w:p w:rsidR="009F47F7" w:rsidRDefault="009F47F7"/>
    <w:p w:rsidR="009F47F7" w:rsidRDefault="009F47F7"/>
    <w:p w:rsidR="009F47F7" w:rsidRDefault="009F47F7"/>
    <w:p w:rsidR="009F47F7" w:rsidRDefault="009F47F7"/>
    <w:p w:rsidR="009F47F7" w:rsidRDefault="009F47F7"/>
    <w:p w:rsidR="00782511" w:rsidRPr="00024B72" w:rsidRDefault="00782511">
      <w:pPr>
        <w:rPr>
          <w:sz w:val="28"/>
          <w:szCs w:val="28"/>
        </w:rPr>
      </w:pPr>
      <w:r w:rsidRPr="00024B72">
        <w:rPr>
          <w:sz w:val="28"/>
          <w:szCs w:val="28"/>
        </w:rPr>
        <w:t>Upon clicking ‘Add Component’, the vendor is presented with the</w:t>
      </w:r>
      <w:r w:rsidR="009F47F7" w:rsidRPr="00024B72">
        <w:rPr>
          <w:sz w:val="28"/>
          <w:szCs w:val="28"/>
        </w:rPr>
        <w:t xml:space="preserve"> additional</w:t>
      </w:r>
      <w:r w:rsidRPr="00024B72">
        <w:rPr>
          <w:sz w:val="28"/>
          <w:szCs w:val="28"/>
        </w:rPr>
        <w:t xml:space="preserve"> fields indicated in the screenshot below which they can use to identify the Component (child) GTIN number</w:t>
      </w:r>
      <w:r w:rsidR="009F47F7" w:rsidRPr="00024B72">
        <w:rPr>
          <w:sz w:val="28"/>
          <w:szCs w:val="28"/>
        </w:rPr>
        <w:t>, the GTIN Type, and the Quantity.</w:t>
      </w:r>
    </w:p>
    <w:p w:rsidR="009F47F7" w:rsidRPr="00024B72" w:rsidRDefault="009F47F7">
      <w:pPr>
        <w:rPr>
          <w:sz w:val="28"/>
          <w:szCs w:val="28"/>
        </w:rPr>
      </w:pPr>
    </w:p>
    <w:p w:rsidR="009F47F7" w:rsidRPr="00024B72" w:rsidRDefault="009F47F7">
      <w:pPr>
        <w:rPr>
          <w:sz w:val="28"/>
          <w:szCs w:val="28"/>
        </w:rPr>
      </w:pPr>
      <w:r w:rsidRPr="00024B72">
        <w:rPr>
          <w:sz w:val="28"/>
          <w:szCs w:val="28"/>
        </w:rPr>
        <w:t>The Vendor would then click ‘Save’ and the item will be added to the list of Component GTINs.  The vendor will repeat this process until all component GTINs have been added.</w:t>
      </w:r>
    </w:p>
    <w:p w:rsidR="009F47F7" w:rsidRDefault="009F47F7">
      <w:r>
        <w:rPr>
          <w:noProof/>
          <w:lang w:eastAsia="ja-JP"/>
        </w:rPr>
        <w:drawing>
          <wp:inline distT="0" distB="0" distL="0" distR="0">
            <wp:extent cx="5934075" cy="396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inline>
        </w:drawing>
      </w:r>
    </w:p>
    <w:p w:rsidR="009F47F7" w:rsidRDefault="009F47F7"/>
    <w:p w:rsidR="009F47F7" w:rsidRDefault="009F47F7"/>
    <w:p w:rsidR="009F47F7" w:rsidRDefault="009F47F7"/>
    <w:p w:rsidR="009F47F7" w:rsidRDefault="009F47F7"/>
    <w:p w:rsidR="00D74F33" w:rsidRDefault="00D74F33"/>
    <w:p w:rsidR="009F47F7" w:rsidRPr="00024B72" w:rsidRDefault="009F47F7">
      <w:pPr>
        <w:rPr>
          <w:sz w:val="28"/>
          <w:szCs w:val="28"/>
        </w:rPr>
      </w:pPr>
      <w:r w:rsidRPr="00024B72">
        <w:rPr>
          <w:sz w:val="28"/>
          <w:szCs w:val="28"/>
        </w:rPr>
        <w:t>After all of the ‘Component’ GTINs have been added, the vendor can click ‘close’ in the upper right-hand corner of the window to complete the process.</w:t>
      </w:r>
    </w:p>
    <w:p w:rsidR="00782511" w:rsidRDefault="009F47F7">
      <w:r>
        <w:rPr>
          <w:noProof/>
          <w:lang w:eastAsia="ja-JP"/>
        </w:rPr>
        <w:drawing>
          <wp:inline distT="0" distB="0" distL="0" distR="0">
            <wp:extent cx="5934075" cy="3819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3819525"/>
                    </a:xfrm>
                    <a:prstGeom prst="rect">
                      <a:avLst/>
                    </a:prstGeom>
                    <a:noFill/>
                    <a:ln>
                      <a:noFill/>
                    </a:ln>
                  </pic:spPr>
                </pic:pic>
              </a:graphicData>
            </a:graphic>
          </wp:inline>
        </w:drawing>
      </w:r>
    </w:p>
    <w:p w:rsidR="009F47F7" w:rsidRDefault="009F47F7"/>
    <w:p w:rsidR="00024B72" w:rsidRDefault="00024B72"/>
    <w:p w:rsidR="00024B72" w:rsidRDefault="00024B72"/>
    <w:p w:rsidR="00024B72" w:rsidRDefault="00024B72"/>
    <w:p w:rsidR="00024B72" w:rsidRDefault="00024B72"/>
    <w:p w:rsidR="00024B72" w:rsidRDefault="00024B72"/>
    <w:p w:rsidR="00024B72" w:rsidRDefault="00024B72"/>
    <w:p w:rsidR="00024B72" w:rsidRDefault="00024B72"/>
    <w:p w:rsidR="00024B72" w:rsidRDefault="00024B72"/>
    <w:p w:rsidR="00024B72" w:rsidRDefault="00024B72"/>
    <w:p w:rsidR="00024B72" w:rsidRDefault="00024B72"/>
    <w:p w:rsidR="00024B72" w:rsidRPr="00024B72" w:rsidRDefault="009F47F7">
      <w:pPr>
        <w:rPr>
          <w:sz w:val="28"/>
          <w:szCs w:val="28"/>
        </w:rPr>
      </w:pPr>
      <w:r w:rsidRPr="00024B72">
        <w:rPr>
          <w:sz w:val="28"/>
          <w:szCs w:val="28"/>
        </w:rPr>
        <w:t xml:space="preserve">In the screenshot below you can now see that each GTIN has a </w:t>
      </w:r>
      <w:r w:rsidR="00024B72" w:rsidRPr="00024B72">
        <w:rPr>
          <w:sz w:val="28"/>
          <w:szCs w:val="28"/>
        </w:rPr>
        <w:t>Qty</w:t>
      </w:r>
      <w:r w:rsidRPr="00024B72">
        <w:rPr>
          <w:sz w:val="28"/>
          <w:szCs w:val="28"/>
        </w:rPr>
        <w:t xml:space="preserve"> under the </w:t>
      </w:r>
      <w:r w:rsidR="00024B72" w:rsidRPr="00024B72">
        <w:rPr>
          <w:sz w:val="28"/>
          <w:szCs w:val="28"/>
        </w:rPr>
        <w:t xml:space="preserve">‘Components’ column (in the case of the Container/Parent GTIN) OR under the ‘Container’ column (in the case of the Component/Child GTIN).  </w:t>
      </w:r>
    </w:p>
    <w:p w:rsidR="009F47F7" w:rsidRPr="00024B72" w:rsidRDefault="00024B72">
      <w:pPr>
        <w:rPr>
          <w:sz w:val="28"/>
          <w:szCs w:val="28"/>
        </w:rPr>
      </w:pPr>
      <w:r w:rsidRPr="00024B72">
        <w:rPr>
          <w:sz w:val="28"/>
          <w:szCs w:val="28"/>
        </w:rPr>
        <w:t>This allows the vendor to tell, at a glance, how many Component or Container GTINs have been associated with that particular GTIN.</w:t>
      </w:r>
    </w:p>
    <w:p w:rsidR="009F47F7" w:rsidRDefault="009F47F7">
      <w:r>
        <w:rPr>
          <w:noProof/>
          <w:lang w:eastAsia="ja-JP"/>
        </w:rPr>
        <w:drawing>
          <wp:inline distT="0" distB="0" distL="0" distR="0">
            <wp:extent cx="5943600" cy="3067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024B72" w:rsidRPr="00024B72" w:rsidRDefault="00024B72">
      <w:pPr>
        <w:rPr>
          <w:i/>
        </w:rPr>
      </w:pPr>
      <w:r w:rsidRPr="00024B72">
        <w:rPr>
          <w:i/>
        </w:rPr>
        <w:t>*It is possible for ‘Component’ GTINs to be associated with more than one ‘Container’ GTINs within the Catalogue.</w:t>
      </w:r>
    </w:p>
    <w:p w:rsidR="00024B72" w:rsidRDefault="00024B72"/>
    <w:sectPr w:rsidR="00024B72" w:rsidSect="00B0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EF"/>
    <w:rsid w:val="00024B72"/>
    <w:rsid w:val="00083A53"/>
    <w:rsid w:val="002B0ADA"/>
    <w:rsid w:val="002C24EF"/>
    <w:rsid w:val="0035579C"/>
    <w:rsid w:val="004A0D32"/>
    <w:rsid w:val="004B2F97"/>
    <w:rsid w:val="00700830"/>
    <w:rsid w:val="00765C88"/>
    <w:rsid w:val="00782511"/>
    <w:rsid w:val="008755FF"/>
    <w:rsid w:val="009E4433"/>
    <w:rsid w:val="009F47F7"/>
    <w:rsid w:val="00A15F8A"/>
    <w:rsid w:val="00B010E6"/>
    <w:rsid w:val="00D11538"/>
    <w:rsid w:val="00D74F33"/>
    <w:rsid w:val="00FA7EB4"/>
    <w:rsid w:val="00FC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285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46">
          <w:marLeft w:val="0"/>
          <w:marRight w:val="0"/>
          <w:marTop w:val="0"/>
          <w:marBottom w:val="0"/>
          <w:divBdr>
            <w:top w:val="none" w:sz="0" w:space="0" w:color="auto"/>
            <w:left w:val="none" w:sz="0" w:space="0" w:color="auto"/>
            <w:bottom w:val="none" w:sz="0" w:space="0" w:color="auto"/>
            <w:right w:val="none" w:sz="0" w:space="0" w:color="auto"/>
          </w:divBdr>
          <w:divsChild>
            <w:div w:id="77142541">
              <w:marLeft w:val="0"/>
              <w:marRight w:val="0"/>
              <w:marTop w:val="0"/>
              <w:marBottom w:val="0"/>
              <w:divBdr>
                <w:top w:val="none" w:sz="0" w:space="0" w:color="auto"/>
                <w:left w:val="none" w:sz="0" w:space="0" w:color="auto"/>
                <w:bottom w:val="none" w:sz="0" w:space="0" w:color="auto"/>
                <w:right w:val="none" w:sz="0" w:space="0" w:color="auto"/>
              </w:divBdr>
              <w:divsChild>
                <w:div w:id="1349602275">
                  <w:marLeft w:val="0"/>
                  <w:marRight w:val="0"/>
                  <w:marTop w:val="0"/>
                  <w:marBottom w:val="0"/>
                  <w:divBdr>
                    <w:top w:val="none" w:sz="0" w:space="0" w:color="auto"/>
                    <w:left w:val="none" w:sz="0" w:space="0" w:color="auto"/>
                    <w:bottom w:val="none" w:sz="0" w:space="0" w:color="auto"/>
                    <w:right w:val="none" w:sz="0" w:space="0" w:color="auto"/>
                  </w:divBdr>
                </w:div>
                <w:div w:id="1663775928">
                  <w:marLeft w:val="0"/>
                  <w:marRight w:val="0"/>
                  <w:marTop w:val="0"/>
                  <w:marBottom w:val="0"/>
                  <w:divBdr>
                    <w:top w:val="none" w:sz="0" w:space="0" w:color="auto"/>
                    <w:left w:val="none" w:sz="0" w:space="0" w:color="auto"/>
                    <w:bottom w:val="none" w:sz="0" w:space="0" w:color="auto"/>
                    <w:right w:val="none" w:sz="0" w:space="0" w:color="auto"/>
                  </w:divBdr>
                </w:div>
                <w:div w:id="1947303140">
                  <w:marLeft w:val="0"/>
                  <w:marRight w:val="0"/>
                  <w:marTop w:val="0"/>
                  <w:marBottom w:val="0"/>
                  <w:divBdr>
                    <w:top w:val="none" w:sz="0" w:space="0" w:color="auto"/>
                    <w:left w:val="none" w:sz="0" w:space="0" w:color="auto"/>
                    <w:bottom w:val="none" w:sz="0" w:space="0" w:color="auto"/>
                    <w:right w:val="none" w:sz="0" w:space="0" w:color="auto"/>
                  </w:divBdr>
                </w:div>
                <w:div w:id="1692992115">
                  <w:marLeft w:val="0"/>
                  <w:marRight w:val="0"/>
                  <w:marTop w:val="0"/>
                  <w:marBottom w:val="0"/>
                  <w:divBdr>
                    <w:top w:val="none" w:sz="0" w:space="0" w:color="auto"/>
                    <w:left w:val="none" w:sz="0" w:space="0" w:color="auto"/>
                    <w:bottom w:val="none" w:sz="0" w:space="0" w:color="auto"/>
                    <w:right w:val="none" w:sz="0" w:space="0" w:color="auto"/>
                  </w:divBdr>
                </w:div>
                <w:div w:id="390538302">
                  <w:marLeft w:val="0"/>
                  <w:marRight w:val="0"/>
                  <w:marTop w:val="0"/>
                  <w:marBottom w:val="0"/>
                  <w:divBdr>
                    <w:top w:val="none" w:sz="0" w:space="0" w:color="auto"/>
                    <w:left w:val="none" w:sz="0" w:space="0" w:color="auto"/>
                    <w:bottom w:val="none" w:sz="0" w:space="0" w:color="auto"/>
                    <w:right w:val="none" w:sz="0" w:space="0" w:color="auto"/>
                  </w:divBdr>
                </w:div>
                <w:div w:id="928006247">
                  <w:marLeft w:val="0"/>
                  <w:marRight w:val="0"/>
                  <w:marTop w:val="0"/>
                  <w:marBottom w:val="0"/>
                  <w:divBdr>
                    <w:top w:val="none" w:sz="0" w:space="0" w:color="auto"/>
                    <w:left w:val="none" w:sz="0" w:space="0" w:color="auto"/>
                    <w:bottom w:val="none" w:sz="0" w:space="0" w:color="auto"/>
                    <w:right w:val="none" w:sz="0" w:space="0" w:color="auto"/>
                  </w:divBdr>
                </w:div>
                <w:div w:id="2049835657">
                  <w:marLeft w:val="0"/>
                  <w:marRight w:val="0"/>
                  <w:marTop w:val="0"/>
                  <w:marBottom w:val="0"/>
                  <w:divBdr>
                    <w:top w:val="none" w:sz="0" w:space="0" w:color="auto"/>
                    <w:left w:val="none" w:sz="0" w:space="0" w:color="auto"/>
                    <w:bottom w:val="none" w:sz="0" w:space="0" w:color="auto"/>
                    <w:right w:val="none" w:sz="0" w:space="0" w:color="auto"/>
                  </w:divBdr>
                </w:div>
                <w:div w:id="420492214">
                  <w:marLeft w:val="0"/>
                  <w:marRight w:val="0"/>
                  <w:marTop w:val="0"/>
                  <w:marBottom w:val="0"/>
                  <w:divBdr>
                    <w:top w:val="none" w:sz="0" w:space="0" w:color="auto"/>
                    <w:left w:val="none" w:sz="0" w:space="0" w:color="auto"/>
                    <w:bottom w:val="none" w:sz="0" w:space="0" w:color="auto"/>
                    <w:right w:val="none" w:sz="0" w:space="0" w:color="auto"/>
                  </w:divBdr>
                </w:div>
                <w:div w:id="1211575963">
                  <w:marLeft w:val="0"/>
                  <w:marRight w:val="0"/>
                  <w:marTop w:val="0"/>
                  <w:marBottom w:val="0"/>
                  <w:divBdr>
                    <w:top w:val="none" w:sz="0" w:space="0" w:color="auto"/>
                    <w:left w:val="none" w:sz="0" w:space="0" w:color="auto"/>
                    <w:bottom w:val="none" w:sz="0" w:space="0" w:color="auto"/>
                    <w:right w:val="none" w:sz="0" w:space="0" w:color="auto"/>
                  </w:divBdr>
                </w:div>
                <w:div w:id="1719236213">
                  <w:marLeft w:val="0"/>
                  <w:marRight w:val="0"/>
                  <w:marTop w:val="0"/>
                  <w:marBottom w:val="0"/>
                  <w:divBdr>
                    <w:top w:val="none" w:sz="0" w:space="0" w:color="auto"/>
                    <w:left w:val="none" w:sz="0" w:space="0" w:color="auto"/>
                    <w:bottom w:val="none" w:sz="0" w:space="0" w:color="auto"/>
                    <w:right w:val="none" w:sz="0" w:space="0" w:color="auto"/>
                  </w:divBdr>
                </w:div>
                <w:div w:id="434400359">
                  <w:marLeft w:val="0"/>
                  <w:marRight w:val="0"/>
                  <w:marTop w:val="0"/>
                  <w:marBottom w:val="0"/>
                  <w:divBdr>
                    <w:top w:val="none" w:sz="0" w:space="0" w:color="auto"/>
                    <w:left w:val="none" w:sz="0" w:space="0" w:color="auto"/>
                    <w:bottom w:val="none" w:sz="0" w:space="0" w:color="auto"/>
                    <w:right w:val="none" w:sz="0" w:space="0" w:color="auto"/>
                  </w:divBdr>
                </w:div>
                <w:div w:id="1113015718">
                  <w:marLeft w:val="0"/>
                  <w:marRight w:val="0"/>
                  <w:marTop w:val="0"/>
                  <w:marBottom w:val="0"/>
                  <w:divBdr>
                    <w:top w:val="none" w:sz="0" w:space="0" w:color="auto"/>
                    <w:left w:val="none" w:sz="0" w:space="0" w:color="auto"/>
                    <w:bottom w:val="none" w:sz="0" w:space="0" w:color="auto"/>
                    <w:right w:val="none" w:sz="0" w:space="0" w:color="auto"/>
                  </w:divBdr>
                </w:div>
                <w:div w:id="2110077412">
                  <w:marLeft w:val="0"/>
                  <w:marRight w:val="0"/>
                  <w:marTop w:val="0"/>
                  <w:marBottom w:val="0"/>
                  <w:divBdr>
                    <w:top w:val="none" w:sz="0" w:space="0" w:color="auto"/>
                    <w:left w:val="none" w:sz="0" w:space="0" w:color="auto"/>
                    <w:bottom w:val="none" w:sz="0" w:space="0" w:color="auto"/>
                    <w:right w:val="none" w:sz="0" w:space="0" w:color="auto"/>
                  </w:divBdr>
                </w:div>
                <w:div w:id="1828782297">
                  <w:marLeft w:val="0"/>
                  <w:marRight w:val="0"/>
                  <w:marTop w:val="0"/>
                  <w:marBottom w:val="0"/>
                  <w:divBdr>
                    <w:top w:val="none" w:sz="0" w:space="0" w:color="auto"/>
                    <w:left w:val="none" w:sz="0" w:space="0" w:color="auto"/>
                    <w:bottom w:val="none" w:sz="0" w:space="0" w:color="auto"/>
                    <w:right w:val="none" w:sz="0" w:space="0" w:color="auto"/>
                  </w:divBdr>
                </w:div>
                <w:div w:id="326905462">
                  <w:marLeft w:val="0"/>
                  <w:marRight w:val="0"/>
                  <w:marTop w:val="0"/>
                  <w:marBottom w:val="0"/>
                  <w:divBdr>
                    <w:top w:val="none" w:sz="0" w:space="0" w:color="auto"/>
                    <w:left w:val="none" w:sz="0" w:space="0" w:color="auto"/>
                    <w:bottom w:val="none" w:sz="0" w:space="0" w:color="auto"/>
                    <w:right w:val="none" w:sz="0" w:space="0" w:color="auto"/>
                  </w:divBdr>
                </w:div>
                <w:div w:id="732890472">
                  <w:marLeft w:val="0"/>
                  <w:marRight w:val="0"/>
                  <w:marTop w:val="0"/>
                  <w:marBottom w:val="0"/>
                  <w:divBdr>
                    <w:top w:val="none" w:sz="0" w:space="0" w:color="auto"/>
                    <w:left w:val="none" w:sz="0" w:space="0" w:color="auto"/>
                    <w:bottom w:val="none" w:sz="0" w:space="0" w:color="auto"/>
                    <w:right w:val="none" w:sz="0" w:space="0" w:color="auto"/>
                  </w:divBdr>
                </w:div>
                <w:div w:id="1566604291">
                  <w:marLeft w:val="0"/>
                  <w:marRight w:val="0"/>
                  <w:marTop w:val="0"/>
                  <w:marBottom w:val="0"/>
                  <w:divBdr>
                    <w:top w:val="none" w:sz="0" w:space="0" w:color="auto"/>
                    <w:left w:val="none" w:sz="0" w:space="0" w:color="auto"/>
                    <w:bottom w:val="none" w:sz="0" w:space="0" w:color="auto"/>
                    <w:right w:val="none" w:sz="0" w:space="0" w:color="auto"/>
                  </w:divBdr>
                </w:div>
                <w:div w:id="835262607">
                  <w:marLeft w:val="0"/>
                  <w:marRight w:val="0"/>
                  <w:marTop w:val="0"/>
                  <w:marBottom w:val="0"/>
                  <w:divBdr>
                    <w:top w:val="none" w:sz="0" w:space="0" w:color="auto"/>
                    <w:left w:val="none" w:sz="0" w:space="0" w:color="auto"/>
                    <w:bottom w:val="none" w:sz="0" w:space="0" w:color="auto"/>
                    <w:right w:val="none" w:sz="0" w:space="0" w:color="auto"/>
                  </w:divBdr>
                </w:div>
                <w:div w:id="1542669801">
                  <w:marLeft w:val="0"/>
                  <w:marRight w:val="0"/>
                  <w:marTop w:val="0"/>
                  <w:marBottom w:val="0"/>
                  <w:divBdr>
                    <w:top w:val="none" w:sz="0" w:space="0" w:color="auto"/>
                    <w:left w:val="none" w:sz="0" w:space="0" w:color="auto"/>
                    <w:bottom w:val="none" w:sz="0" w:space="0" w:color="auto"/>
                    <w:right w:val="none" w:sz="0" w:space="0" w:color="auto"/>
                  </w:divBdr>
                </w:div>
                <w:div w:id="651755620">
                  <w:marLeft w:val="0"/>
                  <w:marRight w:val="0"/>
                  <w:marTop w:val="0"/>
                  <w:marBottom w:val="0"/>
                  <w:divBdr>
                    <w:top w:val="none" w:sz="0" w:space="0" w:color="auto"/>
                    <w:left w:val="none" w:sz="0" w:space="0" w:color="auto"/>
                    <w:bottom w:val="none" w:sz="0" w:space="0" w:color="auto"/>
                    <w:right w:val="none" w:sz="0" w:space="0" w:color="auto"/>
                  </w:divBdr>
                </w:div>
                <w:div w:id="1401564477">
                  <w:marLeft w:val="0"/>
                  <w:marRight w:val="0"/>
                  <w:marTop w:val="0"/>
                  <w:marBottom w:val="0"/>
                  <w:divBdr>
                    <w:top w:val="none" w:sz="0" w:space="0" w:color="auto"/>
                    <w:left w:val="none" w:sz="0" w:space="0" w:color="auto"/>
                    <w:bottom w:val="none" w:sz="0" w:space="0" w:color="auto"/>
                    <w:right w:val="none" w:sz="0" w:space="0" w:color="auto"/>
                  </w:divBdr>
                </w:div>
                <w:div w:id="1838106497">
                  <w:marLeft w:val="0"/>
                  <w:marRight w:val="0"/>
                  <w:marTop w:val="0"/>
                  <w:marBottom w:val="0"/>
                  <w:divBdr>
                    <w:top w:val="none" w:sz="0" w:space="0" w:color="auto"/>
                    <w:left w:val="none" w:sz="0" w:space="0" w:color="auto"/>
                    <w:bottom w:val="none" w:sz="0" w:space="0" w:color="auto"/>
                    <w:right w:val="none" w:sz="0" w:space="0" w:color="auto"/>
                  </w:divBdr>
                </w:div>
                <w:div w:id="306669617">
                  <w:marLeft w:val="0"/>
                  <w:marRight w:val="0"/>
                  <w:marTop w:val="0"/>
                  <w:marBottom w:val="0"/>
                  <w:divBdr>
                    <w:top w:val="none" w:sz="0" w:space="0" w:color="auto"/>
                    <w:left w:val="none" w:sz="0" w:space="0" w:color="auto"/>
                    <w:bottom w:val="none" w:sz="0" w:space="0" w:color="auto"/>
                    <w:right w:val="none" w:sz="0" w:space="0" w:color="auto"/>
                  </w:divBdr>
                </w:div>
                <w:div w:id="8252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GXS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Mitchell (GXS)</dc:creator>
  <cp:lastModifiedBy>Divjak, Jake (GXS)</cp:lastModifiedBy>
  <cp:revision>1</cp:revision>
  <dcterms:created xsi:type="dcterms:W3CDTF">2014-11-13T04:27:00Z</dcterms:created>
  <dcterms:modified xsi:type="dcterms:W3CDTF">2014-11-13T04:27:00Z</dcterms:modified>
</cp:coreProperties>
</file>